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ТЕТРА-ЧИСЛОВАЯ ИНТЕРПРЕТАЦИЯ УРАВНЕНИЯ ЭЙНШТЕЙНА–ДИРАКА</w:t>
      </w:r>
    </w:p>
    <w:p>
      <w:pPr>
        <w:jc w:val="center"/>
      </w:pPr>
      <w:r>
        <w:rPr>
          <w:i/>
          <w:sz w:val="24"/>
        </w:rPr>
        <w:t>От бинарной знаковой структуры к 16-ричной геометрии пространства-времени</w:t>
      </w:r>
    </w:p>
    <w:p>
      <w:pPr>
        <w:spacing w:after="100"/>
        <w:ind w:firstLine="397"/>
      </w:pPr>
      <w:r>
        <w:t>Автор: Владимир Васильевич Коток</w:t>
      </w:r>
    </w:p>
    <w:p>
      <w:pPr>
        <w:spacing w:after="100"/>
        <w:ind w:firstLine="397"/>
      </w:pPr>
      <w:r>
        <w:t>ORCID iD: 0009-0004-9542-2552</w:t>
      </w:r>
    </w:p>
    <w:p>
      <w:pPr>
        <w:spacing w:after="100"/>
        <w:ind w:firstLine="397"/>
      </w:pPr>
      <w:r>
        <w:t>Дата: 2026 г.</w:t>
      </w:r>
    </w:p>
    <w:p>
      <w:pPr>
        <w:spacing w:after="100"/>
        <w:ind w:firstLine="397"/>
      </w:pPr>
      <w:r>
        <w:t>Статус: Препринт, версия для публикации</w:t>
      </w:r>
    </w:p>
    <w:p>
      <w:r>
        <w:rPr>
          <w:b/>
        </w:rPr>
        <w:t>АННОТАЦИЯ</w:t>
      </w:r>
    </w:p>
    <w:p>
      <w:pPr>
        <w:spacing w:after="100"/>
        <w:ind w:firstLine="397"/>
      </w:pPr>
      <w:r>
        <w:t>В работе предлагается тетра-числовая интерпретация релятивистского соотношения энергии покоя E = ±mc², основанная на представлении о четырёхмерном пространстве-времени как о знаковой структуре с четырьмя направлениями X, Y, Z, T.</w:t>
      </w:r>
    </w:p>
    <w:p>
      <w:pPr>
        <w:spacing w:after="100"/>
        <w:ind w:firstLine="397"/>
      </w:pPr>
      <w:r>
        <w:t>Вместо единственного бинарного знака ± вводится знаковый 4-кортеж σ = (σX, σY, σZ, σT), где каждая компонента принимает значение −1 или +1. Тем самым возникает 2⁴ = 16 возможных знаковых конфигураций, интерпретируемых как гипероктанты четырёхмерной структуры.</w:t>
      </w:r>
    </w:p>
    <w:p>
      <w:pPr>
        <w:spacing w:after="100"/>
        <w:ind w:firstLine="397"/>
      </w:pPr>
      <w:r>
        <w:t>Пространственные и временная координаты при этом не рассматриваются как полностью симметричные компоненты. Три пространственные координаты образуют кубическую структуру с восемью пространственными октантами и шестью противоположными пространственными направлениями, тогда как время имеет геодезическую природу и определяет направленность движения.</w:t>
      </w:r>
    </w:p>
    <w:p>
      <w:pPr>
        <w:spacing w:after="100"/>
        <w:ind w:firstLine="397"/>
      </w:pPr>
      <w:r>
        <w:t>Поэтому 16-ричная структура не означает существования шестнадцати независимых или пространственно разнесённых вселенных. Гипероктанты рассматриваются как различные знаковые состояния единой геометрической структуры, связанные общим началом. В рамках теории гравитации-времени это общее начало связывается с Материнской Вселенной, из которой наша Вселенная рассматривается как внутренняя область вселенской чёрной дыры.</w:t>
      </w:r>
    </w:p>
    <w:p>
      <w:pPr>
        <w:spacing w:after="100"/>
        <w:ind w:firstLine="397"/>
      </w:pPr>
      <w:r>
        <w:t>Предлагается гипотеза, согласно которой гравитация, понимаемая как геометрическая связь и геодезическая структура, может связывать различные знаковые сектора, тогда как электромагнитное взаимодействие не обязано обладать той же межсекторной доступностью. В таком случае материя других секторов может быть невидима для нас электромагнитно, но проявляться через гравитацию.</w:t>
      </w:r>
    </w:p>
    <w:p>
      <w:pPr>
        <w:spacing w:after="100"/>
        <w:ind w:firstLine="397"/>
      </w:pPr>
      <w:r>
        <w:t>Это позволяет рассматривать наблюдаемый тёмный гравитирующий компонент как возможное проявление материи других знаковых секторов. Работа не утверждает это как установленный физический факт: количественная проверка требует дальнейшего построения уравнений и сопоставления с наблюдениями.</w:t>
      </w:r>
    </w:p>
    <w:p>
      <w:pPr>
        <w:spacing w:after="100"/>
        <w:ind w:firstLine="397"/>
      </w:pPr>
      <w:r>
        <w:t>Ключевые слова: тетра-числа, гипероктанты, знаковая структура, пространство-время, уравнение Эйнштейна, уравнение Дирака, антиматерия, тёмная материя, гравитационная геодезическая, кубическая симметрия, Z₂⁴, алгебра Клиффорда.</w:t>
      </w:r>
    </w:p>
    <w:p>
      <w:r>
        <w:rPr>
          <w:b/>
          <w:sz w:val="28"/>
        </w:rPr>
        <w:t>1. ВВЕДЕНИЕ</w:t>
      </w:r>
    </w:p>
    <w:p>
      <w:pPr>
        <w:spacing w:after="100"/>
        <w:ind w:firstLine="397"/>
      </w:pPr>
      <w:r>
        <w:t>Современная физика располагает успешными теориями, описывающими различные уровни физической реальности. Однако вопрос о единой геометрической структуре пространства, времени, материи и гравитации остаётся открытым.</w:t>
      </w:r>
    </w:p>
    <w:p>
      <w:pPr>
        <w:spacing w:after="100"/>
        <w:ind w:firstLine="397"/>
      </w:pPr>
      <w:r>
        <w:t>Особое место занимает релятивистская связь между массой и энергией E = mc². В квантово-релятивистском описании возникает также знаковая структура, связанная с противоположными ветвями энергии.</w:t>
      </w:r>
    </w:p>
    <w:p>
      <w:pPr>
        <w:spacing w:after="100"/>
        <w:ind w:firstLine="397"/>
      </w:pPr>
      <w:r>
        <w:t>Настоящая работа исходит из вопроса: если физическая реальность описывается четырёхмерным пространством-временем, почему фундаментальная знаковая структура должна оставаться бинарной?</w:t>
      </w:r>
    </w:p>
    <w:p>
      <w:pPr>
        <w:spacing w:after="100"/>
        <w:ind w:firstLine="397"/>
      </w:pPr>
      <w:r>
        <w:t>Обычная числовая прямая имеет два направления: + и −. Если каждому из четырёх координатных направлений X, Y, Z, T поставить в соответствие два возможных знака, возникает множество Σ₄ = {−1,+1}⁴, содержащее 2⁴ = 16 элементов.</w:t>
      </w:r>
    </w:p>
    <w:p>
      <w:pPr>
        <w:spacing w:after="100"/>
        <w:ind w:firstLine="397"/>
      </w:pPr>
      <w:r>
        <w:t>Предлагаемая конструкция называется тетра-числовой, поскольку состояние описывается четырьмя знаковыми компонентами.</w:t>
      </w:r>
    </w:p>
    <w:p>
      <w:r>
        <w:rPr>
          <w:b/>
          <w:sz w:val="28"/>
        </w:rPr>
        <w:t>2. ИСХОДНАЯ ГЕОМЕТРИЧЕСКАЯ ПРЕДПОСЫЛКА</w:t>
      </w:r>
    </w:p>
    <w:p>
      <w:r>
        <w:rPr>
          <w:b/>
          <w:sz w:val="24"/>
        </w:rPr>
        <w:t>2.1. Четыре координатных направления</w:t>
      </w:r>
    </w:p>
    <w:p>
      <w:pPr>
        <w:spacing w:after="100"/>
        <w:ind w:firstLine="397"/>
      </w:pPr>
      <w:r>
        <w:t>В предлагаемой модели пространство-время описывается направлениями X, Y, Z, T. Для каждой координаты задаётся ориентация:</w:t>
      </w:r>
    </w:p>
    <w:p>
      <w:pPr>
        <w:spacing w:after="100"/>
        <w:ind w:firstLine="397"/>
      </w:pPr>
      <w:r>
        <w:t>σX, σY, σZ, σT ∈ {−1,+1}.</w:t>
      </w:r>
    </w:p>
    <w:p>
      <w:pPr>
        <w:spacing w:after="100"/>
        <w:ind w:firstLine="397"/>
      </w:pPr>
      <w:r>
        <w:t>Состояние имеет вид:</w:t>
      </w:r>
    </w:p>
    <w:p>
      <w:pPr>
        <w:spacing w:after="100"/>
        <w:ind w:firstLine="397"/>
      </w:pPr>
      <w:r>
        <w:t>σ = (σX, σY, σZ, σT).</w:t>
      </w:r>
    </w:p>
    <w:p>
      <w:pPr>
        <w:spacing w:after="100"/>
        <w:ind w:firstLine="397"/>
      </w:pPr>
      <w:r>
        <w:t>Например: (+,+,+,+), (+,−,+,+), (+,+,−,−).</w:t>
      </w:r>
    </w:p>
    <w:p>
      <w:pPr>
        <w:spacing w:after="100"/>
        <w:ind w:firstLine="397"/>
      </w:pPr>
      <w:r>
        <w:t>Знаковый кортеж не следует понимать как четыре независимых физических пространства. Он является индексом состояния единой четырёхмерной структуры.</w:t>
      </w:r>
    </w:p>
    <w:p>
      <w:r>
        <w:rPr>
          <w:b/>
          <w:sz w:val="24"/>
        </w:rPr>
        <w:t>2.2. Шестнадцать гипероктантов</w:t>
      </w:r>
    </w:p>
    <w:p>
      <w:pPr>
        <w:spacing w:after="100"/>
        <w:ind w:firstLine="397"/>
      </w:pPr>
      <w:r>
        <w:t>Полное множество знаковых комбинаций имеет 16 элементов. Эти состояния обозначаются Hσ, где σ ∈ Σ₄.</w:t>
      </w:r>
    </w:p>
    <w:p>
      <w:pPr>
        <w:spacing w:after="100"/>
        <w:ind w:firstLine="397"/>
      </w:pPr>
      <w:r>
        <w:t>Наш наблюдаемый сектор можно обозначить:</w:t>
      </w:r>
    </w:p>
    <w:p>
      <w:pPr>
        <w:spacing w:after="100"/>
        <w:ind w:firstLine="397"/>
      </w:pPr>
      <w:r>
        <w:t>H₀ = (+,+,+,+).</w:t>
      </w:r>
    </w:p>
    <w:p>
      <w:pPr>
        <w:spacing w:after="100"/>
        <w:ind w:firstLine="397"/>
      </w:pPr>
      <w:r>
        <w:t>Другие гипероктанты не обязаны находиться от него на каком-либо пространственном расстоянии. Между ними не вводится обычная метрика расстояния. Они являются различными секторами единой геометрической структуры, связанными общим началом.</w:t>
      </w:r>
    </w:p>
    <w:p>
      <w:r>
        <w:rPr>
          <w:b/>
          <w:sz w:val="28"/>
        </w:rPr>
        <w:t>3. ПРОСТРАНСТВЕННАЯ И ВРЕМЕННАЯ СТРУКТУРЫ</w:t>
      </w:r>
    </w:p>
    <w:p>
      <w:r>
        <w:rPr>
          <w:b/>
          <w:sz w:val="24"/>
        </w:rPr>
        <w:t>3.1. Кубическая структура пространства</w:t>
      </w:r>
    </w:p>
    <w:p>
      <w:pPr>
        <w:spacing w:after="100"/>
        <w:ind w:firstLine="397"/>
      </w:pPr>
      <w:r>
        <w:t>Если рассматривать только X, Y, Z, получаем:</w:t>
      </w:r>
    </w:p>
    <w:p>
      <w:pPr>
        <w:spacing w:after="100"/>
        <w:ind w:firstLine="397"/>
      </w:pPr>
      <w:r>
        <w:t>(±,±,±).</w:t>
      </w:r>
    </w:p>
    <w:p>
      <w:pPr>
        <w:spacing w:after="100"/>
        <w:ind w:firstLine="397"/>
      </w:pPr>
      <w:r>
        <w:t>Это даёт 2³ = 8 пространственных октантов.</w:t>
      </w:r>
    </w:p>
    <w:p>
      <w:pPr>
        <w:spacing w:after="100"/>
        <w:ind w:firstLine="397"/>
      </w:pPr>
      <w:r>
        <w:t>Относительно выбранного пространственного октанта имеются шесть противоположных направлений:</w:t>
      </w:r>
    </w:p>
    <w:p>
      <w:pPr>
        <w:spacing w:after="100"/>
        <w:ind w:firstLine="397"/>
      </w:pPr>
      <w:r>
        <w:t>X+, X−, Y+, Y−, Z+, Z−.</w:t>
      </w:r>
    </w:p>
    <w:p>
      <w:pPr>
        <w:spacing w:after="100"/>
        <w:ind w:firstLine="397"/>
      </w:pPr>
      <w:r>
        <w:t>Именно здесь возникает число 6:</w:t>
      </w:r>
    </w:p>
    <w:p>
      <w:pPr>
        <w:spacing w:after="100"/>
        <w:ind w:firstLine="397"/>
      </w:pPr>
      <w:r>
        <w:t>3 × 2 = 6.</w:t>
      </w:r>
    </w:p>
    <w:p>
      <w:pPr>
        <w:spacing w:after="100"/>
        <w:ind w:firstLine="397"/>
      </w:pPr>
      <w:r>
        <w:t>Оно связано с кубической симметрией трёхмерного пространства, а не с числом гипероктантов.</w:t>
      </w:r>
    </w:p>
    <w:p>
      <w:r>
        <w:rPr>
          <w:b/>
          <w:sz w:val="24"/>
        </w:rPr>
        <w:t>3.2. Особый статус времени</w:t>
      </w:r>
    </w:p>
    <w:p>
      <w:pPr>
        <w:spacing w:after="100"/>
        <w:ind w:firstLine="397"/>
      </w:pPr>
      <w:r>
        <w:t>Временная координата T не ставится в полностью симметричное положение с X, Y, Z.</w:t>
      </w:r>
    </w:p>
    <w:p>
      <w:pPr>
        <w:spacing w:after="100"/>
        <w:ind w:firstLine="397"/>
      </w:pPr>
      <w:r>
        <w:t>В предлагаемой теории время имеет геодезическую природу и связано с направлением движения. Поэтому четыре знаковые компоненты не означают четыре физически эквивалентные оси.</w:t>
      </w:r>
    </w:p>
    <w:p>
      <w:pPr>
        <w:spacing w:after="100"/>
        <w:ind w:firstLine="397"/>
      </w:pPr>
      <w:r>
        <w:t>Пространственные компоненты формируют кубическую структуру, тогда как временная компонента связана с причинной направленностью.</w:t>
      </w:r>
    </w:p>
    <w:p>
      <w:r>
        <w:rPr>
          <w:b/>
          <w:sz w:val="28"/>
        </w:rPr>
        <w:t>4. ТЕТРА-ЧИСЛО КАК ЗНАКОВОЕ СОСТОЯНИЕ</w:t>
      </w:r>
    </w:p>
    <w:p>
      <w:r>
        <w:rPr>
          <w:b/>
          <w:sz w:val="24"/>
        </w:rPr>
        <w:t>4.1. Определение</w:t>
      </w:r>
    </w:p>
    <w:p>
      <w:pPr>
        <w:spacing w:after="100"/>
        <w:ind w:firstLine="397"/>
      </w:pPr>
      <w:r>
        <w:t>На первом этапе под тетра-числом понимается знаковое состояние:</w:t>
      </w:r>
    </w:p>
    <w:p>
      <w:pPr>
        <w:spacing w:after="100"/>
        <w:ind w:firstLine="397"/>
      </w:pPr>
      <w:r>
        <w:t>σ = (σX, σY, σZ, σT),</w:t>
      </w:r>
    </w:p>
    <w:p>
      <w:pPr>
        <w:spacing w:after="100"/>
        <w:ind w:firstLine="397"/>
      </w:pPr>
      <w:r>
        <w:t>где σμ ∈ {−1,+1}.</w:t>
      </w:r>
    </w:p>
    <w:p>
      <w:pPr>
        <w:spacing w:after="100"/>
        <w:ind w:firstLine="397"/>
      </w:pPr>
      <w:r>
        <w:t>Его пространство знаковых состояний имеет мощность 2⁴ = 16.</w:t>
      </w:r>
    </w:p>
    <w:p>
      <w:pPr>
        <w:spacing w:after="100"/>
        <w:ind w:firstLine="397"/>
      </w:pPr>
      <w:r>
        <w:t>Необходимо различать знаковое множество Σ₄ и полноценную алгебру тетра-чисел. Последняя требует отдельного определения операций сложения, умножения и других алгебраических действий.</w:t>
      </w:r>
    </w:p>
    <w:p>
      <w:r>
        <w:rPr>
          <w:b/>
          <w:sz w:val="24"/>
        </w:rPr>
        <w:t>4.2. Групповая структура</w:t>
      </w:r>
    </w:p>
    <w:p>
      <w:pPr>
        <w:spacing w:after="100"/>
        <w:ind w:firstLine="397"/>
      </w:pPr>
      <w:r>
        <w:t>Множество знаковых комбинаций связано с группой</w:t>
      </w:r>
    </w:p>
    <w:p>
      <w:pPr>
        <w:spacing w:after="100"/>
        <w:ind w:firstLine="397"/>
      </w:pPr>
      <w:r>
        <w:t>Z₂⁴ = Z₂ × Z₂ × Z₂ × Z₂.</w:t>
      </w:r>
    </w:p>
    <w:p>
      <w:pPr>
        <w:spacing w:after="100"/>
        <w:ind w:firstLine="397"/>
      </w:pPr>
      <w:r>
        <w:t>Каждая компонента имеет два состояния. Эта структура задаёт комбинаторную основу 16-ричной классификации.</w:t>
      </w:r>
    </w:p>
    <w:p>
      <w:pPr>
        <w:spacing w:after="100"/>
        <w:ind w:firstLine="397"/>
      </w:pPr>
      <w:r>
        <w:t>При этом Z₂⁴ не следует автоматически отождествлять с алгеброй Клиффорда или с полной алгеброй тетра-чисел. Связь между этими конструкциями должна быть построена отдельно.</w:t>
      </w:r>
    </w:p>
    <w:p>
      <w:r>
        <w:rPr>
          <w:b/>
          <w:sz w:val="28"/>
        </w:rPr>
        <w:t>5. ОТ E = ±mc² К ТЕТРА-ЧИСЛОВОЙ ЗАПИСИ</w:t>
      </w:r>
    </w:p>
    <w:p>
      <w:r>
        <w:rPr>
          <w:b/>
          <w:sz w:val="24"/>
        </w:rPr>
        <w:t>5.1. Бинарная структура</w:t>
      </w:r>
    </w:p>
    <w:p>
      <w:pPr>
        <w:spacing w:after="100"/>
        <w:ind w:firstLine="397"/>
      </w:pPr>
      <w:r>
        <w:t>Релятивистское соотношение энергии покоя записывается как:</w:t>
      </w:r>
    </w:p>
    <w:p>
      <w:pPr>
        <w:spacing w:after="100"/>
        <w:ind w:firstLine="397"/>
      </w:pPr>
      <w:r>
        <w:t>E = mc².</w:t>
      </w:r>
    </w:p>
    <w:p>
      <w:pPr>
        <w:spacing w:after="100"/>
        <w:ind w:firstLine="397"/>
      </w:pPr>
      <w:r>
        <w:t>В расширенных релятивистских и квантовых контекстах возникает знаковая структура, которую концептуально можно представить как:</w:t>
      </w:r>
    </w:p>
    <w:p>
      <w:pPr>
        <w:spacing w:after="100"/>
        <w:ind w:firstLine="397"/>
      </w:pPr>
      <w:r>
        <w:t>E = ±mc².</w:t>
      </w:r>
    </w:p>
    <w:p>
      <w:pPr>
        <w:spacing w:after="100"/>
        <w:ind w:firstLine="397"/>
      </w:pPr>
      <w:r>
        <w:t>В настоящей работе бинарный знак рассматривается как возможный частный случай более общей четырёхосевой знаковой структуры.</w:t>
      </w:r>
    </w:p>
    <w:p>
      <w:r>
        <w:rPr>
          <w:b/>
          <w:sz w:val="24"/>
        </w:rPr>
        <w:t>5.2. Тетра-числовое расширение</w:t>
      </w:r>
    </w:p>
    <w:p>
      <w:pPr>
        <w:spacing w:after="100"/>
        <w:ind w:firstLine="397"/>
      </w:pPr>
      <w:r>
        <w:t>Вводится знаковый индекс:</w:t>
      </w:r>
    </w:p>
    <w:p>
      <w:pPr>
        <w:spacing w:after="100"/>
        <w:ind w:firstLine="397"/>
      </w:pPr>
      <w:r>
        <w:t>σ = (σX, σY, σZ, σT),</w:t>
      </w:r>
    </w:p>
    <w:p>
      <w:pPr>
        <w:spacing w:after="100"/>
        <w:ind w:firstLine="397"/>
      </w:pPr>
      <w:r>
        <w:t>и семейство состояний:</w:t>
      </w:r>
    </w:p>
    <w:p>
      <w:pPr>
        <w:spacing w:after="100"/>
        <w:ind w:firstLine="397"/>
      </w:pPr>
      <w:r>
        <w:t>Eσ = σ mc².</w:t>
      </w:r>
    </w:p>
    <w:p>
      <w:pPr>
        <w:spacing w:after="100"/>
        <w:ind w:firstLine="397"/>
      </w:pPr>
      <w:r>
        <w:t>Здесь σ не является обычным скаляром. Он является индексом знаковой конфигурации.</w:t>
      </w:r>
    </w:p>
    <w:p>
      <w:pPr>
        <w:spacing w:after="100"/>
        <w:ind w:firstLine="397"/>
      </w:pPr>
      <w:r>
        <w:t>В развёрнутой записи:</w:t>
      </w:r>
    </w:p>
    <w:p>
      <w:pPr>
        <w:spacing w:after="100"/>
        <w:ind w:firstLine="397"/>
      </w:pPr>
      <w:r>
        <w:t>E(σX, σY, σZ, σT).</w:t>
      </w:r>
    </w:p>
    <w:p>
      <w:pPr>
        <w:spacing w:after="100"/>
        <w:ind w:firstLine="397"/>
      </w:pPr>
      <w:r>
        <w:t>Таким образом, вместо двух вариантов возникает 16 знаковых состояний.</w:t>
      </w:r>
    </w:p>
    <w:p>
      <w:pPr>
        <w:spacing w:after="100"/>
        <w:ind w:firstLine="397"/>
      </w:pPr>
      <w:r>
        <w:t>Это не утверждение о шестнадцати независимых значениях энергии. Речь идёт о расширении классификации состояния за счёт четырёх знаковых координат.</w:t>
      </w:r>
    </w:p>
    <w:p>
      <w:r>
        <w:rPr>
          <w:b/>
          <w:sz w:val="28"/>
        </w:rPr>
        <w:t>6. КОМБИНАТОРНАЯ СТРУКТУРА</w:t>
      </w:r>
    </w:p>
    <w:p>
      <w:pPr>
        <w:spacing w:after="100"/>
        <w:ind w:firstLine="397"/>
      </w:pPr>
      <w:r>
        <w:t>Относительно (+,+,+,+) состояния можно классифицировать по числу изменённых знаков.</w:t>
      </w:r>
    </w:p>
    <w:p>
      <w:pPr>
        <w:spacing w:after="100"/>
        <w:ind w:firstLine="397"/>
      </w:pPr>
      <w:r>
        <w:t>Число состояний с k изменёнными знаками равно C₄ᵏ:</w:t>
      </w:r>
    </w:p>
    <w:p>
      <w:pPr>
        <w:spacing w:after="100"/>
        <w:ind w:firstLine="397"/>
      </w:pPr>
      <w:r>
        <w:t>C₄⁰ + C₄¹ + C₄² + C₄³ + C₄⁴ = 1 + 4 + 6 + 4 + 1 = 16.</w:t>
      </w:r>
    </w:p>
    <w:p>
      <w:pPr>
        <w:spacing w:after="100"/>
        <w:ind w:firstLine="397"/>
      </w:pPr>
      <w:r>
        <w:t>Число изменённых знаков — количество состояний:</w:t>
      </w:r>
    </w:p>
    <w:p>
      <w:pPr>
        <w:spacing w:after="100"/>
        <w:ind w:firstLine="397"/>
      </w:pPr>
      <w:r>
        <w:t>0 — 1</w:t>
      </w:r>
    </w:p>
    <w:p>
      <w:pPr>
        <w:spacing w:after="100"/>
        <w:ind w:firstLine="397"/>
      </w:pPr>
      <w:r>
        <w:t>1 — 4</w:t>
      </w:r>
    </w:p>
    <w:p>
      <w:pPr>
        <w:spacing w:after="100"/>
        <w:ind w:firstLine="397"/>
      </w:pPr>
      <w:r>
        <w:t>2 — 6</w:t>
      </w:r>
    </w:p>
    <w:p>
      <w:pPr>
        <w:spacing w:after="100"/>
        <w:ind w:firstLine="397"/>
      </w:pPr>
      <w:r>
        <w:t>3 — 4</w:t>
      </w:r>
    </w:p>
    <w:p>
      <w:pPr>
        <w:spacing w:after="100"/>
        <w:ind w:firstLine="397"/>
      </w:pPr>
      <w:r>
        <w:t>4 — 1</w:t>
      </w:r>
    </w:p>
    <w:p>
      <w:pPr>
        <w:spacing w:after="100"/>
        <w:ind w:firstLine="397"/>
      </w:pPr>
      <w:r>
        <w:t>Эта структура показывает, что 16-ричность возникает непосредственно из четырёх бинарных ориентаций.</w:t>
      </w:r>
    </w:p>
    <w:p>
      <w:pPr>
        <w:spacing w:after="100"/>
        <w:ind w:firstLine="397"/>
      </w:pPr>
      <w:r>
        <w:t>При этом указанные классы сами по себе не являются классификацией частиц. Их физический смысл требует отдельного вывода.</w:t>
      </w:r>
    </w:p>
    <w:p>
      <w:r>
        <w:rPr>
          <w:b/>
          <w:sz w:val="28"/>
        </w:rPr>
        <w:t>7. АНТИМАТЕРИЯ КАК ЧАСТНЫЙ СЛУЧАЙ</w:t>
      </w:r>
    </w:p>
    <w:p>
      <w:pPr>
        <w:spacing w:after="100"/>
        <w:ind w:firstLine="397"/>
      </w:pPr>
      <w:r>
        <w:t>Тетра-числовая модель не предполагает, что любое отрицательное значение отдельной компоненты является антиматерией.</w:t>
      </w:r>
    </w:p>
    <w:p>
      <w:pPr>
        <w:spacing w:after="100"/>
        <w:ind w:firstLine="397"/>
      </w:pPr>
      <w:r>
        <w:t>Полностью противоположная конфигурация имеет вид:</w:t>
      </w:r>
    </w:p>
    <w:p>
      <w:pPr>
        <w:spacing w:after="100"/>
        <w:ind w:firstLine="397"/>
      </w:pPr>
      <w:r>
        <w:t>(−,−,−,−).</w:t>
      </w:r>
    </w:p>
    <w:p>
      <w:pPr>
        <w:spacing w:after="100"/>
        <w:ind w:firstLine="397"/>
      </w:pPr>
      <w:r>
        <w:t>В рамках предлагаемой интерпретации привычная дуальность материи и антиматерии может рассматриваться как частный случай более общей знаковой структуры. Однако физическое отождествление конкретного знакового состояния с антиматерией требует отдельного обоснования.</w:t>
      </w:r>
    </w:p>
    <w:p>
      <w:r>
        <w:rPr>
          <w:b/>
          <w:sz w:val="28"/>
        </w:rPr>
        <w:t>8. ГРАВИТАЦИЯ КАК МЕЖСЕКТОРНАЯ ГЕОМЕТРИЧЕСКАЯ СВЯЗЬ</w:t>
      </w:r>
    </w:p>
    <w:p>
      <w:r>
        <w:rPr>
          <w:b/>
          <w:sz w:val="24"/>
        </w:rPr>
        <w:t>8.1. Гравитация как геодезическая структура</w:t>
      </w:r>
    </w:p>
    <w:p>
      <w:pPr>
        <w:spacing w:after="100"/>
        <w:ind w:firstLine="397"/>
      </w:pPr>
      <w:r>
        <w:t>Одним из исходных положений модели является различение гравитации и обычных сил.</w:t>
      </w:r>
    </w:p>
    <w:p>
      <w:pPr>
        <w:spacing w:after="100"/>
        <w:ind w:firstLine="397"/>
      </w:pPr>
      <w:r>
        <w:t>Гравитация рассматривается как геометрическая структура, связанная с геодезическим движением. В теории гравитации-времени время трактуется как геодезическая линия падения, а гравитация — как проявление этой геометрии.</w:t>
      </w:r>
    </w:p>
    <w:p>
      <w:pPr>
        <w:spacing w:after="100"/>
        <w:ind w:firstLine="397"/>
      </w:pPr>
      <w:r>
        <w:t>Отсюда возникает возможность того, что гравитационная связь не ограничивается одним знаковым сектором.</w:t>
      </w:r>
    </w:p>
    <w:p>
      <w:r>
        <w:rPr>
          <w:b/>
          <w:sz w:val="24"/>
        </w:rPr>
        <w:t>8.2. Общая вершина</w:t>
      </w:r>
    </w:p>
    <w:p>
      <w:pPr>
        <w:spacing w:after="100"/>
        <w:ind w:firstLine="397"/>
      </w:pPr>
      <w:r>
        <w:t>Гипероктанты не являются шестнадцатью удалёнными пространствами.</w:t>
      </w:r>
    </w:p>
    <w:p>
      <w:pPr>
        <w:spacing w:after="100"/>
        <w:ind w:firstLine="397"/>
      </w:pPr>
      <w:r>
        <w:t>Они связаны общим началом — общей вершиной геометрической структуры.</w:t>
      </w:r>
    </w:p>
    <w:p>
      <w:pPr>
        <w:spacing w:after="100"/>
        <w:ind w:firstLine="397"/>
      </w:pPr>
      <w:r>
        <w:t>В предельной интерпретации этим общим началом выступает внешняя Материнская Вселенная.</w:t>
      </w:r>
    </w:p>
    <w:p>
      <w:pPr>
        <w:spacing w:after="100"/>
        <w:ind w:firstLine="397"/>
      </w:pPr>
      <w:r>
        <w:t>Поэтому межсекторная гравитационная связь не требует введения расстояния между гипероктантами.</w:t>
      </w:r>
    </w:p>
    <w:p>
      <w:pPr>
        <w:spacing w:after="100"/>
        <w:ind w:firstLine="397"/>
      </w:pPr>
      <w:r>
        <w:t>Это не связь двух областей через промежуточное пространство. Это связь элементов единой структуры через общее начало и общую геодезическую организацию.</w:t>
      </w:r>
    </w:p>
    <w:p>
      <w:r>
        <w:rPr>
          <w:b/>
          <w:sz w:val="28"/>
        </w:rPr>
        <w:t>9. ЭЛЕКТРОМАГНИТНАЯ ДОСТУПНОСТЬ И МЕЖСЕКТОРНОЕ ВЗАИМОДЕЙСТВИЕ</w:t>
      </w:r>
    </w:p>
    <w:p>
      <w:pPr>
        <w:spacing w:after="100"/>
        <w:ind w:firstLine="397"/>
      </w:pPr>
      <w:r>
        <w:t>В предлагаемой модели гравитация и электромагнетизм имеют различный статус.</w:t>
      </w:r>
    </w:p>
    <w:p>
      <w:pPr>
        <w:spacing w:after="100"/>
        <w:ind w:firstLine="397"/>
      </w:pPr>
      <w:r>
        <w:t>Электромагнитное взаимодействие рассматривается как силовое взаимодействие внутри соответствующей физической структуры.</w:t>
      </w:r>
    </w:p>
    <w:p>
      <w:pPr>
        <w:spacing w:after="100"/>
        <w:ind w:firstLine="397"/>
      </w:pPr>
      <w:r>
        <w:t>Поэтому материя другого знакового сектора может не обладать электромагнитной доступностью для нашего сектора, даже если её гравитационный вклад доступен наблюдению.</w:t>
      </w:r>
    </w:p>
    <w:p>
      <w:pPr>
        <w:spacing w:after="100"/>
        <w:ind w:firstLine="397"/>
      </w:pPr>
      <w:r>
        <w:t>В таком случае:</w:t>
      </w:r>
    </w:p>
    <w:p>
      <w:pPr>
        <w:spacing w:after="100"/>
        <w:ind w:firstLine="397"/>
      </w:pPr>
      <w:r>
        <w:t>электромагнитная доступность ≠ гравитационная доступность.</w:t>
      </w:r>
    </w:p>
    <w:p>
      <w:pPr>
        <w:spacing w:after="100"/>
        <w:ind w:firstLine="397"/>
      </w:pPr>
      <w:r>
        <w:t>Невидимость другой материи в электромагнитном диапазоне не означает её физического отсутствия.</w:t>
      </w:r>
    </w:p>
    <w:p>
      <w:r>
        <w:rPr>
          <w:b/>
          <w:sz w:val="28"/>
        </w:rPr>
        <w:t>10. ТЁМНАЯ МАТЕРИЯ КАК ГИПОТЕТИЧЕСКИЙ МЕЖСЕКТОРНЫЙ ГРАВИТАЦИОННЫЙ ЭФФЕКТ</w:t>
      </w:r>
    </w:p>
    <w:p>
      <w:pPr>
        <w:spacing w:after="100"/>
        <w:ind w:firstLine="397"/>
      </w:pPr>
      <w:r>
        <w:t>Пусть наблюдаемая материя принадлежит сектору:</w:t>
      </w:r>
    </w:p>
    <w:p>
      <w:pPr>
        <w:spacing w:after="100"/>
        <w:ind w:firstLine="397"/>
      </w:pPr>
      <w:r>
        <w:t>H₀ = (+,+,+,+).</w:t>
      </w:r>
    </w:p>
    <w:p>
      <w:pPr>
        <w:spacing w:after="100"/>
        <w:ind w:firstLine="397"/>
      </w:pPr>
      <w:r>
        <w:t>Другие знаковые конфигурации могут содержать материю, невидимую для нас электромагнитно.</w:t>
      </w:r>
    </w:p>
    <w:p>
      <w:pPr>
        <w:spacing w:after="100"/>
        <w:ind w:firstLine="397"/>
      </w:pPr>
      <w:r>
        <w:t>Если гравитационная геодезическая связывает различные сектора, такая материя может вносить вклад в наблюдаемое гравитационное поле.</w:t>
      </w:r>
    </w:p>
    <w:p>
      <w:pPr>
        <w:spacing w:after="100"/>
        <w:ind w:firstLine="397"/>
      </w:pPr>
      <w:r>
        <w:t>В этом случае тёмный гравитирующий компонент можно интерпретировать как возможный эффект материи других знаковых секторов.</w:t>
      </w:r>
    </w:p>
    <w:p>
      <w:pPr>
        <w:spacing w:after="100"/>
        <w:ind w:firstLine="397"/>
      </w:pPr>
      <w:r>
        <w:t>Это является физической гипотезой. Для превращения её в количественную теорию необходимо вывести соответствующие уравнения поля и показать их согласие с наблюдениями.</w:t>
      </w:r>
    </w:p>
    <w:p>
      <w:r>
        <w:rPr>
          <w:b/>
          <w:sz w:val="24"/>
        </w:rPr>
        <w:t>10.1. Почему нельзя говорить о расстоянии до другого гипероктанта</w:t>
      </w:r>
    </w:p>
    <w:p>
      <w:pPr>
        <w:spacing w:after="100"/>
        <w:ind w:firstLine="397"/>
      </w:pPr>
      <w:r>
        <w:t>Если гипероктанты не являются пространственно разделёнными областями, термин «соседний гипероктант» должен обозначать только знаковую близость.</w:t>
      </w:r>
    </w:p>
    <w:p>
      <w:pPr>
        <w:spacing w:after="100"/>
        <w:ind w:firstLine="397"/>
      </w:pPr>
      <w:r>
        <w:t>Соседство означает различие конечным числом знаковых переключений, а не пространственную близость.</w:t>
      </w:r>
    </w:p>
    <w:p>
      <w:r>
        <w:rPr>
          <w:b/>
          <w:sz w:val="28"/>
        </w:rPr>
        <w:t>11. ПОЧЕМУ ВОЗНИКАЕТ ЧИСЛО ШЕСТЬ</w:t>
      </w:r>
    </w:p>
    <w:p>
      <w:pPr>
        <w:spacing w:after="100"/>
        <w:ind w:firstLine="397"/>
      </w:pPr>
      <w:r>
        <w:t>Шестнадцать гипероктантов не следует напрямую связывать с наблюдаемым отношением обычной и тёмной материи.</w:t>
      </w:r>
    </w:p>
    <w:p>
      <w:pPr>
        <w:spacing w:after="100"/>
        <w:ind w:firstLine="397"/>
      </w:pPr>
      <w:r>
        <w:t>Наблюдаемое пространство имеет три пространственные координаты:</w:t>
      </w:r>
    </w:p>
    <w:p>
      <w:pPr>
        <w:spacing w:after="100"/>
        <w:ind w:firstLine="397"/>
      </w:pPr>
      <w:r>
        <w:t>X, Y, Z.</w:t>
      </w:r>
    </w:p>
    <w:p>
      <w:pPr>
        <w:spacing w:after="100"/>
        <w:ind w:firstLine="397"/>
      </w:pPr>
      <w:r>
        <w:t>Каждая имеет два направления:</w:t>
      </w:r>
    </w:p>
    <w:p>
      <w:pPr>
        <w:spacing w:after="100"/>
        <w:ind w:firstLine="397"/>
      </w:pPr>
      <w:r>
        <w:t>X±, Y±, Z±.</w:t>
      </w:r>
    </w:p>
    <w:p>
      <w:pPr>
        <w:spacing w:after="100"/>
        <w:ind w:firstLine="397"/>
      </w:pPr>
      <w:r>
        <w:t>Поэтому возникает шесть пространственных направлений:</w:t>
      </w:r>
    </w:p>
    <w:p>
      <w:pPr>
        <w:spacing w:after="100"/>
        <w:ind w:firstLine="397"/>
      </w:pPr>
      <w:r>
        <w:t>3 × 2 = 6.</w:t>
      </w:r>
    </w:p>
    <w:p>
      <w:pPr>
        <w:spacing w:after="100"/>
        <w:ind w:firstLine="397"/>
      </w:pPr>
      <w:r>
        <w:t>Время при этом не добавляется к ним как четвёртая пространственная ось. Оно имеет геодезический статус.</w:t>
      </w:r>
    </w:p>
    <w:p>
      <w:pPr>
        <w:spacing w:after="100"/>
        <w:ind w:firstLine="397"/>
      </w:pPr>
      <w:r>
        <w:t>Отсюда возникает рабочая гипотеза: шестикратная пространственная структура может участвовать в том, каким образом многосекторная четырёхмерная геометрия проявляется в доступной наблюдателю трёхмерной картине.</w:t>
      </w:r>
    </w:p>
    <w:p>
      <w:pPr>
        <w:spacing w:after="100"/>
        <w:ind w:firstLine="397"/>
      </w:pPr>
      <w:r>
        <w:t>Количественная связь с наблюдаемым соотношением видимой и тёмной материи должна быть выведена отдельно.</w:t>
      </w:r>
    </w:p>
    <w:p>
      <w:r>
        <w:rPr>
          <w:b/>
          <w:sz w:val="28"/>
        </w:rPr>
        <w:t>12. КОРРЕЛЯЦИЯ МАТЕРИИ В РАЗНЫХ СЕКТОРАХ</w:t>
      </w:r>
    </w:p>
    <w:p>
      <w:pPr>
        <w:spacing w:after="100"/>
        <w:ind w:firstLine="397"/>
      </w:pPr>
      <w:r>
        <w:t>Если распределения материи различных гипероктантов связаны общей геометрией, они могут быть не независимыми.</w:t>
      </w:r>
    </w:p>
    <w:p>
      <w:pPr>
        <w:spacing w:after="100"/>
        <w:ind w:firstLine="397"/>
      </w:pPr>
      <w:r>
        <w:t>Пусть ρᵢ(x) — плотность материи в секторе i.</w:t>
      </w:r>
    </w:p>
    <w:p>
      <w:pPr>
        <w:spacing w:after="100"/>
        <w:ind w:firstLine="397"/>
      </w:pPr>
      <w:r>
        <w:t>Вместо независимых функций можно рассматривать:</w:t>
      </w:r>
    </w:p>
    <w:p>
      <w:pPr>
        <w:spacing w:after="100"/>
        <w:ind w:firstLine="397"/>
      </w:pPr>
      <w:r>
        <w:t>ρᵢ = ρᵢ[𝒢],</w:t>
      </w:r>
    </w:p>
    <w:p>
      <w:pPr>
        <w:spacing w:after="100"/>
        <w:ind w:firstLine="397"/>
      </w:pPr>
      <w:r>
        <w:t>где 𝒢 обозначает общую геодезическую структуру.</w:t>
      </w:r>
    </w:p>
    <w:p>
      <w:pPr>
        <w:spacing w:after="100"/>
        <w:ind w:firstLine="397"/>
      </w:pPr>
      <w:r>
        <w:t>Тогда распределения могут быть коррелированы.</w:t>
      </w:r>
    </w:p>
    <w:p>
      <w:pPr>
        <w:spacing w:after="100"/>
        <w:ind w:firstLine="397"/>
      </w:pPr>
      <w:r>
        <w:t>Рабочая гипотеза состоит в том, что гравитационный фактор способен приводить к своеобразному стягиванию гравитирующей материи различных секторов вдоль общей геодезической структуры, формируя коррелированные пространственные распределения.</w:t>
      </w:r>
    </w:p>
    <w:p>
      <w:pPr>
        <w:spacing w:after="100"/>
        <w:ind w:firstLine="397"/>
      </w:pPr>
      <w:r>
        <w:t>В таком случае наблюдаемое гало тёмной материи может быть гравитационно коррелированным следом многосекторной структуры.</w:t>
      </w:r>
    </w:p>
    <w:p>
      <w:r>
        <w:rPr>
          <w:b/>
          <w:sz w:val="28"/>
        </w:rPr>
        <w:t>13. ГАЛАКТИЧЕСКИЕ ГАЛО КАК ТЕСТ МОДЕЛИ</w:t>
      </w:r>
    </w:p>
    <w:p>
      <w:pPr>
        <w:spacing w:after="100"/>
        <w:ind w:firstLine="397"/>
      </w:pPr>
      <w:r>
        <w:t>Если гипотеза верна, дополнительный гравитационный вклад должен проявляться в динамике видимой материи.</w:t>
      </w:r>
    </w:p>
    <w:p>
      <w:pPr>
        <w:spacing w:after="100"/>
        <w:ind w:firstLine="397"/>
      </w:pPr>
      <w:r>
        <w:t>Необходимо исследовать:</w:t>
      </w:r>
    </w:p>
    <w:p>
      <w:r>
        <w:rPr>
          <w:b/>
          <w:sz w:val="28"/>
        </w:rPr>
        <w:t>1. кривые вращения галактик;</w:t>
      </w:r>
    </w:p>
    <w:p>
      <w:r>
        <w:rPr>
          <w:b/>
          <w:sz w:val="28"/>
        </w:rPr>
        <w:t>2. профили гравитационного потенциала;</w:t>
      </w:r>
    </w:p>
    <w:p>
      <w:r>
        <w:rPr>
          <w:b/>
          <w:sz w:val="28"/>
        </w:rPr>
        <w:t>3. распределение гравитационного линзирования;</w:t>
      </w:r>
    </w:p>
    <w:p>
      <w:r>
        <w:rPr>
          <w:b/>
          <w:sz w:val="28"/>
        </w:rPr>
        <w:t>4. корреляцию видимой и невидимой материи;</w:t>
      </w:r>
    </w:p>
    <w:p>
      <w:r>
        <w:rPr>
          <w:b/>
          <w:sz w:val="28"/>
        </w:rPr>
        <w:t>5. поведение системы при столкновении галактик и скоплений.</w:t>
      </w:r>
    </w:p>
    <w:p>
      <w:pPr>
        <w:spacing w:after="100"/>
        <w:ind w:firstLine="397"/>
      </w:pPr>
      <w:r>
        <w:t>Основной проверяемый вопрос:</w:t>
      </w:r>
    </w:p>
    <w:p>
      <w:pPr>
        <w:spacing w:after="100"/>
        <w:ind w:firstLine="397"/>
      </w:pPr>
      <w:r>
        <w:t>распределение видимой материи ↔ распределение межсекторного гравитационного вклада.</w:t>
      </w:r>
    </w:p>
    <w:p>
      <w:pPr>
        <w:spacing w:after="100"/>
        <w:ind w:firstLine="397"/>
      </w:pPr>
      <w:r>
        <w:t>Если модель порождает конкретную корреляцию, её можно сравнить с наблюдениями.</w:t>
      </w:r>
    </w:p>
    <w:p>
      <w:r>
        <w:rPr>
          <w:b/>
          <w:sz w:val="28"/>
        </w:rPr>
        <w:t>14. ГРАВИТАЦИОННОЕ ЛИНЗИРОВАНИЕ</w:t>
      </w:r>
    </w:p>
    <w:p>
      <w:pPr>
        <w:spacing w:after="100"/>
        <w:ind w:firstLine="397"/>
      </w:pPr>
      <w:r>
        <w:t>В предлагаемой модели следует проверить, является ли наблюдаемая геометрия линзирования суммарным эффектом материи нашего сектора и гипотетического вклада других секторов:</w:t>
      </w:r>
    </w:p>
    <w:p>
      <w:pPr>
        <w:spacing w:after="100"/>
        <w:ind w:firstLine="397"/>
      </w:pPr>
      <w:r>
        <w:t>Φobs = Φ₀ + Σ Φσ.</w:t>
      </w:r>
    </w:p>
    <w:p>
      <w:pPr>
        <w:spacing w:after="100"/>
        <w:ind w:firstLine="397"/>
      </w:pPr>
      <w:r>
        <w:t>Здесь Φ₀ — вклад наблюдаемой материи, а Φσ — гипотетический вклад материи других знаковых секторов.</w:t>
      </w:r>
    </w:p>
    <w:p>
      <w:pPr>
        <w:spacing w:after="100"/>
        <w:ind w:firstLine="397"/>
      </w:pPr>
      <w:r>
        <w:t>Это не завершённое уравнение теории, а схема для дальнейшего построения модели.</w:t>
      </w:r>
    </w:p>
    <w:p>
      <w:pPr>
        <w:spacing w:after="100"/>
        <w:ind w:firstLine="397"/>
      </w:pPr>
      <w:r>
        <w:t>Необходимо определить, каким образом межсекторный вклад входит в уравнения геодезических и гравитационного линзирования.</w:t>
      </w:r>
    </w:p>
    <w:p>
      <w:r>
        <w:rPr>
          <w:b/>
          <w:sz w:val="28"/>
        </w:rPr>
        <w:t>15. СТОЛКНОВЕНИЯ СКОПЛЕНИЙ ГАЛАКТИК</w:t>
      </w:r>
    </w:p>
    <w:p>
      <w:pPr>
        <w:spacing w:after="100"/>
        <w:ind w:firstLine="397"/>
      </w:pPr>
      <w:r>
        <w:t>Столкновения скоплений представляют особый интерес.</w:t>
      </w:r>
    </w:p>
    <w:p>
      <w:pPr>
        <w:spacing w:after="100"/>
        <w:ind w:firstLine="397"/>
      </w:pPr>
      <w:r>
        <w:t>Если невидимый гравитирующий компонент связан с материей других гипероктантов, необходимо определить его поведение при динамическом взаимодействии крупных систем.</w:t>
      </w:r>
    </w:p>
    <w:p>
      <w:pPr>
        <w:spacing w:after="100"/>
        <w:ind w:firstLine="397"/>
      </w:pPr>
      <w:r>
        <w:t>Возможны различные рабочие гипотезы:</w:t>
      </w:r>
    </w:p>
    <w:p>
      <w:r>
        <w:rPr>
          <w:b/>
          <w:sz w:val="28"/>
        </w:rPr>
        <w:t>1. межсекторный гравитационный компонент следует за обычной материей;</w:t>
      </w:r>
    </w:p>
    <w:p>
      <w:r>
        <w:rPr>
          <w:b/>
          <w:sz w:val="28"/>
        </w:rPr>
        <w:t>2. он реагирует преимущественно на геометрию гравитационного поля;</w:t>
      </w:r>
    </w:p>
    <w:p>
      <w:r>
        <w:rPr>
          <w:b/>
          <w:sz w:val="28"/>
        </w:rPr>
        <w:t>3. его распределение определяется собственной корреляционной структурой гипероктантов.</w:t>
      </w:r>
    </w:p>
    <w:p>
      <w:pPr>
        <w:spacing w:after="100"/>
        <w:ind w:firstLine="397"/>
      </w:pPr>
      <w:r>
        <w:t>Эти варианты дают различные наблюдаемые последствия и могут быть предметом дальнейшего сравнения с данными.</w:t>
      </w:r>
    </w:p>
    <w:p>
      <w:r>
        <w:rPr>
          <w:b/>
          <w:sz w:val="28"/>
        </w:rPr>
        <w:t>16. НУЛЕВОЙ ВЕКТОРНЫЙ БАЛАНС</w:t>
      </w:r>
    </w:p>
    <w:p>
      <w:pPr>
        <w:spacing w:after="100"/>
        <w:ind w:firstLine="397"/>
      </w:pPr>
      <w:r>
        <w:t>Тетра-числовая конструкция связана с принципом нулевого векторного баланса, сформулированным в рамках «Арифметики Абсолюта» и теории гравитации-времени.</w:t>
      </w:r>
    </w:p>
    <w:p>
      <w:pPr>
        <w:spacing w:after="100"/>
        <w:ind w:firstLine="397"/>
      </w:pPr>
      <w:r>
        <w:t>Если гипероктанты являются компонентами единой структуры, суммарное состояние может быть представлено как:</w:t>
      </w:r>
    </w:p>
    <w:p>
      <w:pPr>
        <w:spacing w:after="100"/>
        <w:ind w:firstLine="397"/>
      </w:pPr>
      <w:r>
        <w:t>Σ Vσ = 0.</w:t>
      </w:r>
    </w:p>
    <w:p>
      <w:pPr>
        <w:spacing w:after="100"/>
        <w:ind w:firstLine="397"/>
      </w:pPr>
      <w:r>
        <w:t>Ноль при этом трактуется не как отсутствие содержания, а как состояние полного взаимного баланса.</w:t>
      </w:r>
    </w:p>
    <w:p>
      <w:pPr>
        <w:spacing w:after="100"/>
        <w:ind w:firstLine="397"/>
      </w:pPr>
      <w:r>
        <w:t>Количественная реализация такого принципа требует строгого определения операции сложения над физически интерпретируемыми тетра-числовыми состояниями.</w:t>
      </w:r>
    </w:p>
    <w:p>
      <w:r>
        <w:rPr>
          <w:b/>
          <w:sz w:val="28"/>
        </w:rPr>
        <w:t>17. АЛГЕБРА КЛИФФОРДА И ДАЛЬНЕЙШАЯ МАТЕМАТИЗАЦИЯ</w:t>
      </w:r>
    </w:p>
    <w:p>
      <w:pPr>
        <w:spacing w:after="100"/>
        <w:ind w:firstLine="397"/>
      </w:pPr>
      <w:r>
        <w:t>Четырёхмерная структура естественным образом приводит к вопросу о соответствующей геометрической алгебре.</w:t>
      </w:r>
    </w:p>
    <w:p>
      <w:pPr>
        <w:spacing w:after="100"/>
        <w:ind w:firstLine="397"/>
      </w:pPr>
      <w:r>
        <w:t>При этом необходимо различать:</w:t>
      </w:r>
    </w:p>
    <w:p>
      <w:pPr>
        <w:spacing w:after="100"/>
        <w:ind w:firstLine="397"/>
      </w:pPr>
      <w:r>
        <w:t>Z₂⁴ — группу знаковых переключений;</w:t>
      </w:r>
    </w:p>
    <w:p>
      <w:pPr>
        <w:spacing w:after="100"/>
        <w:ind w:firstLine="397"/>
      </w:pPr>
      <w:r>
        <w:t>Clₚ,ᵩ — алгебру Клиффорда;</w:t>
      </w:r>
    </w:p>
    <w:p>
      <w:pPr>
        <w:spacing w:after="100"/>
        <w:ind w:firstLine="397"/>
      </w:pPr>
      <w:r>
        <w:t>алгебру тетра-чисел — ещё не полностью определённую конструкцию.</w:t>
      </w:r>
    </w:p>
    <w:p>
      <w:pPr>
        <w:spacing w:after="100"/>
        <w:ind w:firstLine="397"/>
      </w:pPr>
      <w:r>
        <w:t>Возможная программа дальнейшей работы состоит в построении отображения:</w:t>
      </w:r>
    </w:p>
    <w:p>
      <w:pPr>
        <w:spacing w:after="100"/>
        <w:ind w:firstLine="397"/>
      </w:pPr>
      <w:r>
        <w:t>Σ₄ → Clₚ,ᵩ,</w:t>
      </w:r>
    </w:p>
    <w:p>
      <w:pPr>
        <w:spacing w:after="100"/>
        <w:ind w:firstLine="397"/>
      </w:pPr>
      <w:r>
        <w:t>при котором знаковые состояния получают представление в геометрической алгебре.</w:t>
      </w:r>
    </w:p>
    <w:p>
      <w:pPr>
        <w:spacing w:after="100"/>
        <w:ind w:firstLine="397"/>
      </w:pPr>
      <w:r>
        <w:t>Следует исследовать, могут ли возникающие скалярные, векторные, бивекторные и другие компоненты получить физическую интерпретацию.</w:t>
      </w:r>
    </w:p>
    <w:p>
      <w:r>
        <w:rPr>
          <w:b/>
          <w:sz w:val="28"/>
        </w:rPr>
        <w:t>18. ВЧД КАК ЧАСТНЫЙ СЛУЧАЙ ИЕРАРХИЧЕСКОЙ СТРУКТУРЫ</w:t>
      </w:r>
    </w:p>
    <w:p>
      <w:pPr>
        <w:spacing w:after="100"/>
        <w:ind w:firstLine="397"/>
      </w:pPr>
      <w:r>
        <w:t>В рамках теории гравитации-времени наблюдаемая Вселенная рассматривается как внутренняя область вселенской чёрной дыры, возникшей в Материнской Вселенной.</w:t>
      </w:r>
    </w:p>
    <w:p>
      <w:pPr>
        <w:spacing w:after="100"/>
        <w:ind w:firstLine="397"/>
      </w:pPr>
      <w:r>
        <w:t>Это позволяет рассматривать ВЧД не обязательно как конечный элемент геометрической иерархии.</w:t>
      </w:r>
    </w:p>
    <w:p>
      <w:pPr>
        <w:spacing w:after="100"/>
        <w:ind w:firstLine="397"/>
      </w:pPr>
      <w:r>
        <w:t>Схематически:</w:t>
      </w:r>
    </w:p>
    <w:p>
      <w:pPr>
        <w:spacing w:after="100"/>
        <w:ind w:firstLine="397"/>
      </w:pPr>
      <w:r>
        <w:t>Материнская Вселенная → ВЧД → наблюдаемая Вселенная → …</w:t>
      </w:r>
    </w:p>
    <w:p>
      <w:pPr>
        <w:spacing w:after="100"/>
        <w:ind w:firstLine="397"/>
      </w:pPr>
      <w:r>
        <w:t>Если аналогичный принцип действует на следующем уровне, ВЧД может оказаться частным случаем более общей структуры.</w:t>
      </w:r>
    </w:p>
    <w:p>
      <w:pPr>
        <w:spacing w:after="100"/>
        <w:ind w:firstLine="397"/>
      </w:pPr>
      <w:r>
        <w:t>Тетра-числовая геометрия в таком случае может быть локальным элементом более общей иерархической организации.</w:t>
      </w:r>
    </w:p>
    <w:p>
      <w:r>
        <w:rPr>
          <w:b/>
          <w:sz w:val="28"/>
        </w:rPr>
        <w:t>19. ПРОВЕРЯЕМЫЕ СЛЕДСТВИЯ И ПРОГРАММА ИССЛЕДОВАНИЯ</w:t>
      </w:r>
    </w:p>
    <w:p>
      <w:pPr>
        <w:spacing w:after="100"/>
        <w:ind w:firstLine="397"/>
      </w:pPr>
      <w:r>
        <w:t>Для перехода от концептуальной модели к физической теории необходимо получить количественные предсказания.</w:t>
      </w:r>
    </w:p>
    <w:p>
      <w:pPr>
        <w:spacing w:after="100"/>
        <w:ind w:firstLine="397"/>
      </w:pPr>
      <w:r>
        <w:t>Основные направления:</w:t>
      </w:r>
    </w:p>
    <w:p>
      <w:r>
        <w:rPr>
          <w:b/>
          <w:sz w:val="28"/>
        </w:rPr>
        <w:t>1. кривые вращения галактик — получение функции дополнительного гравитационного вклада;</w:t>
      </w:r>
    </w:p>
    <w:p>
      <w:r>
        <w:rPr>
          <w:b/>
          <w:sz w:val="28"/>
        </w:rPr>
        <w:t>2. гравитационное линзирование — расчёт вклада других секторов;</w:t>
      </w:r>
    </w:p>
    <w:p>
      <w:r>
        <w:rPr>
          <w:b/>
          <w:sz w:val="28"/>
        </w:rPr>
        <w:t>3. корреляция видимой и невидимой материи — вывод зависимости ρdark = F(ρvisible);</w:t>
      </w:r>
    </w:p>
    <w:p>
      <w:r>
        <w:rPr>
          <w:b/>
          <w:sz w:val="28"/>
        </w:rPr>
        <w:t>4. столкновения скоплений — исследование межсекторной динамики;</w:t>
      </w:r>
    </w:p>
    <w:p>
      <w:r>
        <w:rPr>
          <w:b/>
          <w:sz w:val="28"/>
        </w:rPr>
        <w:t>5. космологическая эволюция — определение роли 16-ричной структуры в формировании крупномасштабной структуры.</w:t>
      </w:r>
    </w:p>
    <w:p>
      <w:r>
        <w:rPr>
          <w:b/>
          <w:sz w:val="28"/>
        </w:rPr>
        <w:t>20. ОГРАНИЧЕНИЯ МОДЕЛИ</w:t>
      </w:r>
    </w:p>
    <w:p>
      <w:pPr>
        <w:spacing w:after="100"/>
        <w:ind w:firstLine="397"/>
      </w:pPr>
      <w:r>
        <w:t>На настоящем этапе необходимо различать установленные математические соотношения и физические гипотезы.</w:t>
      </w:r>
    </w:p>
    <w:p>
      <w:pPr>
        <w:spacing w:after="100"/>
        <w:ind w:firstLine="397"/>
      </w:pPr>
      <w:r>
        <w:t>Во-первых, Eσ = σmc² является концептуальной записью знакового состояния, а не завершённым физическим уравнением.</w:t>
      </w:r>
    </w:p>
    <w:p>
      <w:pPr>
        <w:spacing w:after="100"/>
        <w:ind w:firstLine="397"/>
      </w:pPr>
      <w:r>
        <w:t>Во-вторых, полная алгебра тетра-чисел пока не определена.</w:t>
      </w:r>
    </w:p>
    <w:p>
      <w:pPr>
        <w:spacing w:after="100"/>
        <w:ind w:firstLine="397"/>
      </w:pPr>
      <w:r>
        <w:t>В-третьих, межсекторный гравитационный вклад пока не выведен количественно из уравнений поля.</w:t>
      </w:r>
    </w:p>
    <w:p>
      <w:pPr>
        <w:spacing w:after="100"/>
        <w:ind w:firstLine="397"/>
      </w:pPr>
      <w:r>
        <w:t>В-четвёртых, связь числа шесть с наблюдаемым отношением видимой и тёмной материи требует математического обоснования.</w:t>
      </w:r>
    </w:p>
    <w:p>
      <w:pPr>
        <w:spacing w:after="100"/>
        <w:ind w:firstLine="397"/>
      </w:pPr>
      <w:r>
        <w:t>В-пятых, соответствие модели данным гравитационного линзирования, галактической динамики и столкновений скоплений ещё предстоит установить.</w:t>
      </w:r>
    </w:p>
    <w:p>
      <w:pPr>
        <w:spacing w:after="100"/>
        <w:ind w:firstLine="397"/>
      </w:pPr>
      <w:r>
        <w:t>Эти ограничения определяют программу дальнейшего исследования.</w:t>
      </w:r>
    </w:p>
    <w:p>
      <w:r>
        <w:rPr>
          <w:b/>
          <w:sz w:val="28"/>
        </w:rPr>
        <w:t>21. ОБСУЖДЕНИЕ</w:t>
      </w:r>
    </w:p>
    <w:p>
      <w:pPr>
        <w:spacing w:after="100"/>
        <w:ind w:firstLine="397"/>
      </w:pPr>
      <w:r>
        <w:t>Предлагаемая конструкция содержит четыре уровня.</w:t>
      </w:r>
    </w:p>
    <w:p>
      <w:pPr>
        <w:spacing w:after="100"/>
        <w:ind w:firstLine="397"/>
      </w:pPr>
      <w:r>
        <w:t>Первый — математический: четыре бинарные ориентации дают 16 знаковых состояний.</w:t>
      </w:r>
    </w:p>
    <w:p>
      <w:pPr>
        <w:spacing w:after="100"/>
        <w:ind w:firstLine="397"/>
      </w:pPr>
      <w:r>
        <w:t>Второй — геометрический: эти состояния интерпретируются как гипероктанты единой четырёхмерной структуры, связанные общим началом.</w:t>
      </w:r>
    </w:p>
    <w:p>
      <w:pPr>
        <w:spacing w:after="100"/>
        <w:ind w:firstLine="397"/>
      </w:pPr>
      <w:r>
        <w:t>Третий — физический: гравитация рассматривается как геометрическая связь, а электромагнитное взаимодействие имеет иной статус.</w:t>
      </w:r>
    </w:p>
    <w:p>
      <w:pPr>
        <w:spacing w:after="100"/>
        <w:ind w:firstLine="397"/>
      </w:pPr>
      <w:r>
        <w:t>Четвёртый — космологический: материя других знаковых секторов может давать гравитационный вклад, наблюдаемый как тёмный компонент.</w:t>
      </w:r>
    </w:p>
    <w:p>
      <w:pPr>
        <w:spacing w:after="100"/>
        <w:ind w:firstLine="397"/>
      </w:pPr>
      <w:r>
        <w:t>Такое построение позволяет рассматривать тёмную материю не обязательно как самостоятельную дополнительную сущность, а как возможное проявление многосекторной геометрии.</w:t>
      </w:r>
    </w:p>
    <w:p>
      <w:pPr>
        <w:spacing w:after="100"/>
        <w:ind w:firstLine="397"/>
      </w:pPr>
      <w:r>
        <w:t>Однако физическая состоятельность этой интерпретации определяется не самой красивой геометрической картиной, а способностью модели дать количественные предсказания и пройти наблюдательные проверки.</w:t>
      </w:r>
    </w:p>
    <w:p>
      <w:r>
        <w:rPr>
          <w:b/>
          <w:sz w:val="28"/>
        </w:rPr>
        <w:t>22. ЗАКЛЮЧЕНИЕ</w:t>
      </w:r>
    </w:p>
    <w:p>
      <w:pPr>
        <w:spacing w:after="100"/>
        <w:ind w:firstLine="397"/>
      </w:pPr>
      <w:r>
        <w:t>В работе предложена тетра-числовая интерпретация релятивистского соотношения E = ±mc².</w:t>
      </w:r>
    </w:p>
    <w:p>
      <w:pPr>
        <w:spacing w:after="100"/>
        <w:ind w:firstLine="397"/>
      </w:pPr>
      <w:r>
        <w:t>Вместо единственного бинарного знака введён четырёхкомпонентный знаковый индекс:</w:t>
      </w:r>
    </w:p>
    <w:p>
      <w:pPr>
        <w:spacing w:after="100"/>
        <w:ind w:firstLine="397"/>
      </w:pPr>
      <w:r>
        <w:t>σ = (±,±,±,±),</w:t>
      </w:r>
    </w:p>
    <w:p>
      <w:pPr>
        <w:spacing w:after="100"/>
        <w:ind w:firstLine="397"/>
      </w:pPr>
      <w:r>
        <w:t>образующий 2⁴ = 16 возможных конфигураций.</w:t>
      </w:r>
    </w:p>
    <w:p>
      <w:pPr>
        <w:spacing w:after="100"/>
        <w:ind w:firstLine="397"/>
      </w:pPr>
      <w:r>
        <w:t>Эти конфигурации интерпретируются как гипероктанты единой четырёхмерной геометрической структуры, а не как шестнадцать пространственно разнесённых вселенных.</w:t>
      </w:r>
    </w:p>
    <w:p>
      <w:pPr>
        <w:spacing w:after="100"/>
        <w:ind w:firstLine="397"/>
      </w:pPr>
      <w:r>
        <w:t>Пространственные координаты X,Y,Z образуют кубическую структуру с восемью октантами и шестью противоположными направлениями. Временная координата T имеет иной, геодезический статус.</w:t>
      </w:r>
    </w:p>
    <w:p>
      <w:pPr>
        <w:spacing w:after="100"/>
        <w:ind w:firstLine="397"/>
      </w:pPr>
      <w:r>
        <w:t>Такое различение позволяет сформулировать гипотезу о том, что гравитационная геодезическая может связывать различные знаковые сектора общей структуры, тогда как электромагнитное взаимодействие не обязано обладать той же межсекторной доступностью.</w:t>
      </w:r>
    </w:p>
    <w:p>
      <w:pPr>
        <w:spacing w:after="100"/>
        <w:ind w:firstLine="397"/>
      </w:pPr>
      <w:r>
        <w:t>В результате материя других гипероктантов потенциально может быть невидимой для нас электромагнитно, но проявляться через гравитацию.</w:t>
      </w:r>
    </w:p>
    <w:p>
      <w:pPr>
        <w:spacing w:after="100"/>
        <w:ind w:firstLine="397"/>
      </w:pPr>
      <w:r>
        <w:t>На этой основе тёмный гравитирующий компонент может быть рассмотрен как возможное проявление многосекторной материи.</w:t>
      </w:r>
    </w:p>
    <w:p>
      <w:pPr>
        <w:spacing w:after="100"/>
        <w:ind w:firstLine="397"/>
      </w:pPr>
      <w:r>
        <w:t>Основным результатом работы является не заявление о завершённой теории тёмной материи, а формулировка исследовательской программы:</w:t>
      </w:r>
    </w:p>
    <w:p>
      <w:pPr>
        <w:spacing w:after="100"/>
        <w:ind w:firstLine="397"/>
      </w:pPr>
      <w:r>
        <w:t>бинарный знак → четырёхосевая знаковая структура → 16 гипероктантов → многосекторная гравитационная геометрия.</w:t>
      </w:r>
    </w:p>
    <w:p>
      <w:pPr>
        <w:spacing w:after="100"/>
        <w:ind w:firstLine="397"/>
      </w:pPr>
      <w:r>
        <w:t>Дальнейшее развитие должно состоять в строгом определении алгебры тетра-чисел, построении соответствующих уравнений поля и получении количественных предсказаний, которые можно сопоставить с наблюдениями.</w:t>
      </w:r>
    </w:p>
    <w:p>
      <w:r>
        <w:rPr>
          <w:b/>
        </w:rPr>
        <w:t>ЛИТЕРАТУРА</w:t>
      </w:r>
    </w:p>
    <w:p>
      <w:r>
        <w:rPr>
          <w:b/>
          <w:sz w:val="28"/>
        </w:rPr>
        <w:t>1. Коток В. В. Арифметика Абсолюта: От знака числа — к разуму Вселенной. — М.: ИИ-книга, 2025.</w:t>
      </w:r>
    </w:p>
    <w:p>
      <w:r>
        <w:rPr>
          <w:b/>
          <w:sz w:val="28"/>
        </w:rPr>
        <w:t>2. Коток В. В. Теория гравитации-времени: Вселенная как чёрная дыра, нулевая сингулярность и глобальный векторный баланс. — Препринт, 2026.</w:t>
      </w:r>
    </w:p>
    <w:p>
      <w:r>
        <w:rPr>
          <w:b/>
          <w:sz w:val="28"/>
        </w:rPr>
        <w:t>3. Коток В. В. Теория Нулевого Баланса — опыт гипотетического синтеза геометрии, физики, космологии и сознания. — М.: ИИ-книга, 2026.</w:t>
      </w:r>
    </w:p>
    <w:p>
      <w:r>
        <w:rPr>
          <w:b/>
          <w:sz w:val="28"/>
        </w:rPr>
        <w:t>4. Dirac P. A. M. The Quantum Theory of the Electron // Proceedings of the Royal Society A. — 1928. — Vol. 117, No. 778. — P. 610–624.</w:t>
      </w:r>
    </w:p>
    <w:p>
      <w:r>
        <w:rPr>
          <w:b/>
          <w:sz w:val="28"/>
        </w:rPr>
        <w:t>5. Heinemann B. Part #02: How an equation predicted antimatter. — Helmholtz, 2025.</w:t>
      </w:r>
    </w:p>
    <w:p>
      <w:r>
        <w:rPr>
          <w:b/>
          <w:sz w:val="28"/>
        </w:rPr>
        <w:t>6. Baez J. C. The Clifford Algebra Cliff_n. — University of California, Riverside.</w:t>
      </w:r>
    </w:p>
    <w:p>
      <w:r>
        <w:rPr>
          <w:b/>
          <w:sz w:val="28"/>
        </w:rPr>
        <w:t>7. Коток В. В. Арифметика Абсолюта: От знака числа — к разуму Вселенной (лекция 1). — Author.Today, 2025.</w:t>
      </w:r>
    </w:p>
    <w:p>
      <w:pPr>
        <w:spacing w:after="100"/>
        <w:ind w:firstLine="397"/>
      </w:pPr>
      <w:r>
        <w:t>Статья подготовлена на основе цикла работ «Арифметика Абсолюта» и «Теория гравитации-времени». Положения, не получившие количественного вывода, обозначены как гипотезы или направления дальнейшего исследования.</w:t>
      </w:r>
    </w:p>
    <w:sectPr w:rsidR="00FC693F" w:rsidRPr="0006063C" w:rsidSect="00034616"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